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11103" w14:textId="77777777" w:rsidR="0019715E" w:rsidRPr="0019715E" w:rsidRDefault="0019715E" w:rsidP="0019715E">
      <w:pPr>
        <w:spacing w:before="100" w:beforeAutospacing="1" w:after="100" w:afterAutospacing="1" w:line="240" w:lineRule="auto"/>
        <w:rPr>
          <w:rFonts w:ascii="Arial" w:eastAsia="Times New Roman" w:hAnsi="Arial" w:cs="Arial"/>
          <w:kern w:val="0"/>
          <w:sz w:val="36"/>
          <w:szCs w:val="36"/>
          <w:lang w:eastAsia="en-AU"/>
          <w14:ligatures w14:val="none"/>
        </w:rPr>
      </w:pPr>
      <w:r w:rsidRPr="0019715E">
        <w:rPr>
          <w:rFonts w:ascii="Arial" w:eastAsia="Times New Roman" w:hAnsi="Arial" w:cs="Arial"/>
          <w:b/>
          <w:bCs/>
          <w:kern w:val="0"/>
          <w:sz w:val="36"/>
          <w:szCs w:val="36"/>
          <w:lang w:eastAsia="en-AU"/>
          <w14:ligatures w14:val="none"/>
        </w:rPr>
        <w:t>Unlocking Bone Health: A Comprehensive Guide to Managing Osteoporosis</w:t>
      </w:r>
    </w:p>
    <w:p w14:paraId="63512CC4" w14:textId="77777777" w:rsidR="00A20422" w:rsidRDefault="0019715E" w:rsidP="0019715E">
      <w:pPr>
        <w:spacing w:before="100" w:beforeAutospacing="1" w:after="100" w:afterAutospacing="1" w:line="240" w:lineRule="auto"/>
        <w:rPr>
          <w:rFonts w:ascii="Arial" w:eastAsia="Times New Roman" w:hAnsi="Arial" w:cs="Arial"/>
          <w:kern w:val="0"/>
          <w:sz w:val="28"/>
          <w:szCs w:val="28"/>
          <w:lang w:eastAsia="en-AU"/>
          <w14:ligatures w14:val="none"/>
        </w:rPr>
      </w:pPr>
      <w:r w:rsidRPr="0019715E">
        <w:rPr>
          <w:rFonts w:ascii="Arial" w:eastAsia="Times New Roman" w:hAnsi="Arial" w:cs="Arial"/>
          <w:kern w:val="0"/>
          <w:sz w:val="28"/>
          <w:szCs w:val="28"/>
          <w:lang w:eastAsia="en-AU"/>
          <w14:ligatures w14:val="none"/>
        </w:rPr>
        <w:t>Osteoporosis, a prevalent condition characteri</w:t>
      </w:r>
      <w:r>
        <w:rPr>
          <w:rFonts w:ascii="Arial" w:eastAsia="Times New Roman" w:hAnsi="Arial" w:cs="Arial"/>
          <w:kern w:val="0"/>
          <w:sz w:val="28"/>
          <w:szCs w:val="28"/>
          <w:lang w:eastAsia="en-AU"/>
          <w14:ligatures w14:val="none"/>
        </w:rPr>
        <w:t>s</w:t>
      </w:r>
      <w:r w:rsidRPr="0019715E">
        <w:rPr>
          <w:rFonts w:ascii="Arial" w:eastAsia="Times New Roman" w:hAnsi="Arial" w:cs="Arial"/>
          <w:kern w:val="0"/>
          <w:sz w:val="28"/>
          <w:szCs w:val="28"/>
          <w:lang w:eastAsia="en-AU"/>
          <w14:ligatures w14:val="none"/>
        </w:rPr>
        <w:t xml:space="preserve">ed by weakened bones and increased fracture risk, calls for a multifaceted approach to healthcare. </w:t>
      </w:r>
    </w:p>
    <w:p w14:paraId="7DA7AF69" w14:textId="116701E3" w:rsidR="00A20422" w:rsidRDefault="00A20422" w:rsidP="0019715E">
      <w:pPr>
        <w:spacing w:before="100" w:beforeAutospacing="1" w:after="100" w:afterAutospacing="1" w:line="240" w:lineRule="auto"/>
        <w:rPr>
          <w:rFonts w:ascii="Arial" w:eastAsia="Times New Roman" w:hAnsi="Arial" w:cs="Arial"/>
          <w:kern w:val="0"/>
          <w:sz w:val="28"/>
          <w:szCs w:val="28"/>
          <w:lang w:eastAsia="en-AU"/>
          <w14:ligatures w14:val="none"/>
        </w:rPr>
      </w:pPr>
      <w:r>
        <w:rPr>
          <w:rFonts w:ascii="Arial" w:eastAsia="Times New Roman" w:hAnsi="Arial" w:cs="Arial"/>
          <w:kern w:val="0"/>
          <w:sz w:val="28"/>
          <w:szCs w:val="28"/>
          <w:lang w:eastAsia="en-AU"/>
          <w14:ligatures w14:val="none"/>
        </w:rPr>
        <w:t xml:space="preserve">In 2024, 6.2 million Australians aged over 50 are living with poor bone health costing our nation $4.8 billion </w:t>
      </w:r>
      <w:r w:rsidRPr="00A20422">
        <w:rPr>
          <w:rFonts w:ascii="Arial" w:eastAsia="Times New Roman" w:hAnsi="Arial" w:cs="Arial"/>
          <w:kern w:val="0"/>
          <w:sz w:val="28"/>
          <w:szCs w:val="28"/>
          <w:lang w:eastAsia="en-AU"/>
          <w14:ligatures w14:val="none"/>
        </w:rPr>
        <w:t>annually</w:t>
      </w:r>
      <w:r>
        <w:rPr>
          <w:rFonts w:ascii="Arial" w:eastAsia="Times New Roman" w:hAnsi="Arial" w:cs="Arial"/>
          <w:kern w:val="0"/>
          <w:sz w:val="28"/>
          <w:szCs w:val="28"/>
          <w:vertAlign w:val="superscript"/>
          <w:lang w:eastAsia="en-AU"/>
          <w14:ligatures w14:val="none"/>
        </w:rPr>
        <w:t xml:space="preserve"> (</w:t>
      </w:r>
      <w:r w:rsidRPr="00A20422">
        <w:rPr>
          <w:rFonts w:ascii="Arial" w:eastAsia="Times New Roman" w:hAnsi="Arial" w:cs="Arial"/>
          <w:kern w:val="0"/>
          <w:sz w:val="28"/>
          <w:szCs w:val="28"/>
          <w:vertAlign w:val="superscript"/>
          <w:lang w:eastAsia="en-AU"/>
          <w14:ligatures w14:val="none"/>
        </w:rPr>
        <w:t>1</w:t>
      </w:r>
      <w:r>
        <w:rPr>
          <w:rFonts w:ascii="Arial" w:eastAsia="Times New Roman" w:hAnsi="Arial" w:cs="Arial"/>
          <w:kern w:val="0"/>
          <w:sz w:val="28"/>
          <w:szCs w:val="28"/>
          <w:vertAlign w:val="superscript"/>
          <w:lang w:eastAsia="en-AU"/>
          <w14:ligatures w14:val="none"/>
        </w:rPr>
        <w:t>)</w:t>
      </w:r>
      <w:r>
        <w:rPr>
          <w:rFonts w:ascii="Arial" w:eastAsia="Times New Roman" w:hAnsi="Arial" w:cs="Arial"/>
          <w:kern w:val="0"/>
          <w:sz w:val="28"/>
          <w:szCs w:val="28"/>
          <w:lang w:eastAsia="en-AU"/>
          <w14:ligatures w14:val="none"/>
        </w:rPr>
        <w:t xml:space="preserve">. This is projected to almost double over the next decade due to our aging population </w:t>
      </w:r>
    </w:p>
    <w:p w14:paraId="5AE24DD0" w14:textId="77777777" w:rsidR="00EB206D" w:rsidRDefault="0019715E" w:rsidP="00EB206D">
      <w:pPr>
        <w:spacing w:before="100" w:beforeAutospacing="1" w:after="100" w:afterAutospacing="1" w:line="240" w:lineRule="auto"/>
        <w:rPr>
          <w:rFonts w:ascii="Arial" w:eastAsia="Times New Roman" w:hAnsi="Arial" w:cs="Arial"/>
          <w:kern w:val="0"/>
          <w:sz w:val="28"/>
          <w:szCs w:val="28"/>
          <w:lang w:eastAsia="en-AU"/>
          <w14:ligatures w14:val="none"/>
        </w:rPr>
      </w:pPr>
      <w:r w:rsidRPr="0019715E">
        <w:rPr>
          <w:rFonts w:ascii="Arial" w:eastAsia="Times New Roman" w:hAnsi="Arial" w:cs="Arial"/>
          <w:kern w:val="0"/>
          <w:sz w:val="28"/>
          <w:szCs w:val="28"/>
          <w:lang w:eastAsia="en-AU"/>
          <w14:ligatures w14:val="none"/>
        </w:rPr>
        <w:t>In this blog, we delve into the roles of various medical specialists who contribute to the comprehensive management of osteoporosis, highlighting the essential practices that can mitigate this widespread issue.</w:t>
      </w:r>
    </w:p>
    <w:p w14:paraId="50F9AE3B" w14:textId="0F1B1C9F" w:rsidR="0019715E" w:rsidRPr="0019715E" w:rsidRDefault="0019715E" w:rsidP="00EB206D">
      <w:pPr>
        <w:spacing w:before="100" w:beforeAutospacing="1" w:after="100" w:afterAutospacing="1" w:line="240" w:lineRule="auto"/>
        <w:rPr>
          <w:rFonts w:ascii="Arial" w:eastAsia="Times New Roman" w:hAnsi="Arial" w:cs="Arial"/>
          <w:kern w:val="0"/>
          <w:sz w:val="32"/>
          <w:szCs w:val="32"/>
          <w:lang w:eastAsia="en-AU"/>
          <w14:ligatures w14:val="none"/>
        </w:rPr>
      </w:pPr>
      <w:r w:rsidRPr="0019715E">
        <w:rPr>
          <w:rFonts w:ascii="Arial" w:eastAsia="Times New Roman" w:hAnsi="Arial" w:cs="Arial"/>
          <w:b/>
          <w:bCs/>
          <w:kern w:val="0"/>
          <w:sz w:val="32"/>
          <w:szCs w:val="32"/>
          <w:lang w:eastAsia="en-AU"/>
          <w14:ligatures w14:val="none"/>
        </w:rPr>
        <w:t xml:space="preserve">The </w:t>
      </w:r>
      <w:r w:rsidR="00A42BFD">
        <w:rPr>
          <w:rFonts w:ascii="Arial" w:eastAsia="Times New Roman" w:hAnsi="Arial" w:cs="Arial"/>
          <w:b/>
          <w:bCs/>
          <w:kern w:val="0"/>
          <w:sz w:val="32"/>
          <w:szCs w:val="32"/>
          <w:lang w:eastAsia="en-AU"/>
          <w14:ligatures w14:val="none"/>
        </w:rPr>
        <w:t xml:space="preserve">Important </w:t>
      </w:r>
      <w:r w:rsidRPr="0019715E">
        <w:rPr>
          <w:rFonts w:ascii="Arial" w:eastAsia="Times New Roman" w:hAnsi="Arial" w:cs="Arial"/>
          <w:b/>
          <w:bCs/>
          <w:kern w:val="0"/>
          <w:sz w:val="32"/>
          <w:szCs w:val="32"/>
          <w:lang w:eastAsia="en-AU"/>
          <w14:ligatures w14:val="none"/>
        </w:rPr>
        <w:t>Role of General Practitioners</w:t>
      </w:r>
    </w:p>
    <w:p w14:paraId="3D8A1B5C" w14:textId="77777777" w:rsidR="00EB206D" w:rsidRDefault="0019715E" w:rsidP="00EB206D">
      <w:pPr>
        <w:spacing w:before="100" w:beforeAutospacing="1" w:after="100" w:afterAutospacing="1" w:line="240" w:lineRule="auto"/>
        <w:rPr>
          <w:rFonts w:ascii="Arial" w:eastAsia="Times New Roman" w:hAnsi="Arial" w:cs="Arial"/>
          <w:kern w:val="0"/>
          <w:sz w:val="28"/>
          <w:szCs w:val="28"/>
          <w:lang w:eastAsia="en-AU"/>
          <w14:ligatures w14:val="none"/>
        </w:rPr>
      </w:pPr>
      <w:r>
        <w:rPr>
          <w:rFonts w:ascii="Arial" w:eastAsia="Times New Roman" w:hAnsi="Arial" w:cs="Arial"/>
          <w:kern w:val="0"/>
          <w:sz w:val="28"/>
          <w:szCs w:val="28"/>
          <w:lang w:eastAsia="en-AU"/>
          <w14:ligatures w14:val="none"/>
        </w:rPr>
        <w:t>Doctor’s/</w:t>
      </w:r>
      <w:r w:rsidRPr="0019715E">
        <w:rPr>
          <w:rFonts w:ascii="Arial" w:eastAsia="Times New Roman" w:hAnsi="Arial" w:cs="Arial"/>
          <w:kern w:val="0"/>
          <w:sz w:val="28"/>
          <w:szCs w:val="28"/>
          <w:lang w:eastAsia="en-AU"/>
          <w14:ligatures w14:val="none"/>
        </w:rPr>
        <w:t>General Practitioners often serve as the initial point of contact in the healthcare system for individuals potentially suffering from osteoporosis, especially following incidents like low-trauma fractures. These primary care doctors not only conduct preliminary assessments such as bone density tests but also guide patients through the complex landscape of specialist care necessary for thorough treatment.</w:t>
      </w:r>
    </w:p>
    <w:p w14:paraId="277A6C12" w14:textId="5FE93B3B" w:rsidR="00A42BFD" w:rsidRDefault="00A42BFD" w:rsidP="00A42BFD">
      <w:pPr>
        <w:pStyle w:val="NormalWeb"/>
        <w:rPr>
          <w:rFonts w:ascii="Arial" w:hAnsi="Arial" w:cs="Arial"/>
          <w:sz w:val="28"/>
          <w:szCs w:val="28"/>
        </w:rPr>
      </w:pPr>
      <w:r w:rsidRPr="00A42BFD">
        <w:rPr>
          <w:rFonts w:ascii="Arial" w:hAnsi="Arial" w:cs="Arial"/>
          <w:sz w:val="28"/>
          <w:szCs w:val="28"/>
        </w:rPr>
        <w:t>Most doctors are well-versed in the dosage requirements for osteoporosis medications and general nutrition but often lack detailed knowledge about the exercise needed to stimulate osteogenesis for bone growth, as well as the nuanced nutritional needs beyond standard recommended daily allowances</w:t>
      </w:r>
      <w:r>
        <w:rPr>
          <w:rFonts w:ascii="Arial" w:hAnsi="Arial" w:cs="Arial"/>
          <w:sz w:val="28"/>
          <w:szCs w:val="28"/>
        </w:rPr>
        <w:t xml:space="preserve"> which are now recognised as inadequate for older people</w:t>
      </w:r>
      <w:r w:rsidRPr="00A42BFD">
        <w:rPr>
          <w:rFonts w:ascii="Arial" w:hAnsi="Arial" w:cs="Arial"/>
          <w:sz w:val="28"/>
          <w:szCs w:val="28"/>
        </w:rPr>
        <w:t xml:space="preserve">. Although calcium and vitamin D supplements are commonly prescribed, the International Osteoporosis Federation highlights that these supplements </w:t>
      </w:r>
      <w:r w:rsidRPr="00A42BFD">
        <w:rPr>
          <w:rFonts w:ascii="Arial" w:hAnsi="Arial" w:cs="Arial"/>
          <w:sz w:val="28"/>
          <w:szCs w:val="28"/>
          <w:u w:val="single"/>
        </w:rPr>
        <w:t>are not</w:t>
      </w:r>
      <w:r w:rsidRPr="00A42BFD">
        <w:rPr>
          <w:rFonts w:ascii="Arial" w:hAnsi="Arial" w:cs="Arial"/>
          <w:sz w:val="28"/>
          <w:szCs w:val="28"/>
        </w:rPr>
        <w:t xml:space="preserve"> beneficial for most people</w:t>
      </w:r>
      <w:r w:rsidRPr="00A42BFD">
        <w:rPr>
          <w:rFonts w:ascii="Arial" w:hAnsi="Arial" w:cs="Arial"/>
          <w:sz w:val="28"/>
          <w:szCs w:val="28"/>
        </w:rPr>
        <w:t xml:space="preserve">. </w:t>
      </w:r>
    </w:p>
    <w:p w14:paraId="012A1608" w14:textId="1071FC9A" w:rsidR="00A42BFD" w:rsidRPr="00A42BFD" w:rsidRDefault="00A42BFD" w:rsidP="00A42BFD">
      <w:pPr>
        <w:pStyle w:val="NormalWeb"/>
        <w:rPr>
          <w:rFonts w:ascii="Arial" w:hAnsi="Arial" w:cs="Arial"/>
          <w:sz w:val="28"/>
          <w:szCs w:val="28"/>
        </w:rPr>
      </w:pPr>
      <w:r w:rsidRPr="00A42BFD">
        <w:rPr>
          <w:rFonts w:ascii="Arial" w:hAnsi="Arial" w:cs="Arial"/>
          <w:sz w:val="28"/>
          <w:szCs w:val="28"/>
        </w:rPr>
        <w:t>Research indicates that vitamin D can reduce fracture risks primarily in older, institutionali</w:t>
      </w:r>
      <w:r>
        <w:rPr>
          <w:rFonts w:ascii="Arial" w:hAnsi="Arial" w:cs="Arial"/>
          <w:sz w:val="28"/>
          <w:szCs w:val="28"/>
        </w:rPr>
        <w:t>s</w:t>
      </w:r>
      <w:r w:rsidRPr="00A42BFD">
        <w:rPr>
          <w:rFonts w:ascii="Arial" w:hAnsi="Arial" w:cs="Arial"/>
          <w:sz w:val="28"/>
          <w:szCs w:val="28"/>
        </w:rPr>
        <w:t>ed individuals with very low bone density. For most people, it</w:t>
      </w:r>
      <w:r>
        <w:rPr>
          <w:rFonts w:ascii="Arial" w:hAnsi="Arial" w:cs="Arial"/>
          <w:sz w:val="28"/>
          <w:szCs w:val="28"/>
        </w:rPr>
        <w:t xml:space="preserve"> i</w:t>
      </w:r>
      <w:r w:rsidRPr="00A42BFD">
        <w:rPr>
          <w:rFonts w:ascii="Arial" w:hAnsi="Arial" w:cs="Arial"/>
          <w:sz w:val="28"/>
          <w:szCs w:val="28"/>
        </w:rPr>
        <w:t>s now recommended to obtain calcium naturally from food sources and vitamin D from sunlight exposure and dietary sources such as eggs, mushrooms, and fatty fish.</w:t>
      </w:r>
    </w:p>
    <w:p w14:paraId="567C11BF" w14:textId="77777777" w:rsidR="0084120D" w:rsidRDefault="0084120D" w:rsidP="0084120D">
      <w:pPr>
        <w:pStyle w:val="NormalWeb"/>
        <w:rPr>
          <w:rFonts w:ascii="Arial" w:hAnsi="Arial" w:cs="Arial"/>
          <w:sz w:val="28"/>
          <w:szCs w:val="28"/>
        </w:rPr>
      </w:pPr>
      <w:r>
        <w:rPr>
          <w:b/>
          <w:bCs/>
          <w:noProof/>
        </w:rPr>
        <w:lastRenderedPageBreak/>
        <w:drawing>
          <wp:anchor distT="0" distB="0" distL="114300" distR="114300" simplePos="0" relativeHeight="251659264" behindDoc="0" locked="0" layoutInCell="1" allowOverlap="1" wp14:anchorId="70C1B369" wp14:editId="520CB9FB">
            <wp:simplePos x="0" y="0"/>
            <wp:positionH relativeFrom="column">
              <wp:posOffset>1370330</wp:posOffset>
            </wp:positionH>
            <wp:positionV relativeFrom="paragraph">
              <wp:posOffset>1059180</wp:posOffset>
            </wp:positionV>
            <wp:extent cx="4015105" cy="3038475"/>
            <wp:effectExtent l="0" t="0" r="4445" b="9525"/>
            <wp:wrapTopAndBottom/>
            <wp:docPr id="1468636425" name="Picture 1" descr="A stool with four legs and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36425" name="Picture 1" descr="A stool with four legs and a diagram&#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5105" cy="3038475"/>
                    </a:xfrm>
                    <a:prstGeom prst="rect">
                      <a:avLst/>
                    </a:prstGeom>
                  </pic:spPr>
                </pic:pic>
              </a:graphicData>
            </a:graphic>
          </wp:anchor>
        </w:drawing>
      </w:r>
      <w:r w:rsidRPr="009B2775">
        <w:rPr>
          <w:rFonts w:ascii="Arial" w:hAnsi="Arial" w:cs="Arial"/>
          <w:sz w:val="28"/>
          <w:szCs w:val="28"/>
        </w:rPr>
        <w:t xml:space="preserve">Locating a knowledgeable </w:t>
      </w:r>
      <w:r>
        <w:rPr>
          <w:rFonts w:ascii="Arial" w:hAnsi="Arial" w:cs="Arial"/>
          <w:sz w:val="28"/>
          <w:szCs w:val="28"/>
        </w:rPr>
        <w:t>doctor</w:t>
      </w:r>
      <w:r w:rsidRPr="009B2775">
        <w:rPr>
          <w:rFonts w:ascii="Arial" w:hAnsi="Arial" w:cs="Arial"/>
          <w:sz w:val="28"/>
          <w:szCs w:val="28"/>
        </w:rPr>
        <w:t xml:space="preserve"> who comprehensively understands osteoporosis management, including the intricate interplay of bone and muscle health's </w:t>
      </w:r>
      <w:r w:rsidRPr="009C5EEA">
        <w:rPr>
          <w:rFonts w:ascii="Arial" w:hAnsi="Arial" w:cs="Arial"/>
          <w:b/>
          <w:bCs/>
          <w:sz w:val="28"/>
          <w:szCs w:val="28"/>
        </w:rPr>
        <w:t>Four Pillars</w:t>
      </w:r>
      <w:r w:rsidRPr="009B2775">
        <w:rPr>
          <w:rFonts w:ascii="Arial" w:hAnsi="Arial" w:cs="Arial"/>
          <w:sz w:val="28"/>
          <w:szCs w:val="28"/>
        </w:rPr>
        <w:t xml:space="preserve"> and the potential impact of underlying medical conditions and medication interactions on bone health, is crucial. </w:t>
      </w:r>
    </w:p>
    <w:p w14:paraId="09D80D24" w14:textId="0C2F7E8B" w:rsidR="0084120D" w:rsidRPr="009C5EEA" w:rsidRDefault="0084120D" w:rsidP="0084120D">
      <w:pPr>
        <w:pStyle w:val="NormalWeb"/>
        <w:jc w:val="center"/>
        <w:rPr>
          <w:rFonts w:ascii="Arial" w:hAnsi="Arial" w:cs="Arial"/>
          <w:b/>
          <w:bCs/>
          <w:sz w:val="28"/>
          <w:szCs w:val="28"/>
        </w:rPr>
      </w:pPr>
      <w:r>
        <w:rPr>
          <w:rFonts w:ascii="Arial" w:hAnsi="Arial" w:cs="Arial"/>
          <w:b/>
          <w:bCs/>
          <w:sz w:val="28"/>
          <w:szCs w:val="28"/>
        </w:rPr>
        <w:t xml:space="preserve"> </w:t>
      </w:r>
      <w:r>
        <w:rPr>
          <w:rFonts w:ascii="Arial" w:hAnsi="Arial" w:cs="Arial"/>
          <w:b/>
          <w:bCs/>
          <w:sz w:val="28"/>
          <w:szCs w:val="28"/>
        </w:rPr>
        <w:t>F</w:t>
      </w:r>
      <w:r w:rsidRPr="009C5EEA">
        <w:rPr>
          <w:rFonts w:ascii="Arial" w:hAnsi="Arial" w:cs="Arial"/>
          <w:b/>
          <w:bCs/>
          <w:sz w:val="28"/>
          <w:szCs w:val="28"/>
        </w:rPr>
        <w:t>our Pillars of Bone &amp; Muscle Health</w:t>
      </w:r>
    </w:p>
    <w:p w14:paraId="01784C2F" w14:textId="77777777" w:rsidR="00A42BFD" w:rsidRDefault="00A42BFD" w:rsidP="00EB206D">
      <w:pPr>
        <w:spacing w:before="100" w:beforeAutospacing="1" w:after="100" w:afterAutospacing="1" w:line="240" w:lineRule="auto"/>
        <w:rPr>
          <w:rFonts w:ascii="Arial" w:eastAsia="Times New Roman" w:hAnsi="Arial" w:cs="Arial"/>
          <w:kern w:val="0"/>
          <w:sz w:val="28"/>
          <w:szCs w:val="28"/>
          <w:lang w:eastAsia="en-AU"/>
          <w14:ligatures w14:val="none"/>
        </w:rPr>
      </w:pPr>
    </w:p>
    <w:p w14:paraId="231AC4BA" w14:textId="77777777" w:rsidR="0084120D" w:rsidRDefault="0084120D" w:rsidP="00EB206D">
      <w:pPr>
        <w:spacing w:before="100" w:beforeAutospacing="1" w:after="100" w:afterAutospacing="1" w:line="240" w:lineRule="auto"/>
        <w:rPr>
          <w:rFonts w:ascii="Arial" w:eastAsia="Times New Roman" w:hAnsi="Arial" w:cs="Arial"/>
          <w:b/>
          <w:bCs/>
          <w:kern w:val="0"/>
          <w:sz w:val="32"/>
          <w:szCs w:val="32"/>
          <w:lang w:eastAsia="en-AU"/>
          <w14:ligatures w14:val="none"/>
        </w:rPr>
      </w:pPr>
    </w:p>
    <w:p w14:paraId="66A70FA0" w14:textId="58C1EFD6" w:rsidR="0019715E" w:rsidRPr="0019715E" w:rsidRDefault="0019715E" w:rsidP="00EB206D">
      <w:pPr>
        <w:spacing w:before="100" w:beforeAutospacing="1" w:after="100" w:afterAutospacing="1" w:line="240" w:lineRule="auto"/>
        <w:rPr>
          <w:rFonts w:ascii="Arial" w:eastAsia="Times New Roman" w:hAnsi="Arial" w:cs="Arial"/>
          <w:kern w:val="0"/>
          <w:sz w:val="32"/>
          <w:szCs w:val="32"/>
          <w:lang w:eastAsia="en-AU"/>
          <w14:ligatures w14:val="none"/>
        </w:rPr>
      </w:pPr>
      <w:r w:rsidRPr="0019715E">
        <w:rPr>
          <w:rFonts w:ascii="Arial" w:eastAsia="Times New Roman" w:hAnsi="Arial" w:cs="Arial"/>
          <w:b/>
          <w:bCs/>
          <w:kern w:val="0"/>
          <w:sz w:val="32"/>
          <w:szCs w:val="32"/>
          <w:lang w:eastAsia="en-AU"/>
          <w14:ligatures w14:val="none"/>
        </w:rPr>
        <w:t>Specialist Care for Osteoporosis</w:t>
      </w:r>
    </w:p>
    <w:p w14:paraId="320F51FB" w14:textId="77777777" w:rsidR="0019715E" w:rsidRPr="0019715E" w:rsidRDefault="0019715E" w:rsidP="0019715E">
      <w:pPr>
        <w:spacing w:before="100" w:beforeAutospacing="1" w:after="100" w:afterAutospacing="1" w:line="240" w:lineRule="auto"/>
        <w:rPr>
          <w:rFonts w:ascii="Arial" w:eastAsia="Times New Roman" w:hAnsi="Arial" w:cs="Arial"/>
          <w:kern w:val="0"/>
          <w:sz w:val="28"/>
          <w:szCs w:val="28"/>
          <w:lang w:eastAsia="en-AU"/>
          <w14:ligatures w14:val="none"/>
        </w:rPr>
      </w:pPr>
      <w:r w:rsidRPr="0019715E">
        <w:rPr>
          <w:rFonts w:ascii="Arial" w:eastAsia="Times New Roman" w:hAnsi="Arial" w:cs="Arial"/>
          <w:kern w:val="0"/>
          <w:sz w:val="28"/>
          <w:szCs w:val="28"/>
          <w:lang w:eastAsia="en-AU"/>
          <w14:ligatures w14:val="none"/>
        </w:rPr>
        <w:t>Osteoporosis management involves a range of specialists, each offering unique expertise:</w:t>
      </w:r>
    </w:p>
    <w:p w14:paraId="10C8D065" w14:textId="77777777" w:rsidR="0019715E" w:rsidRPr="0019715E" w:rsidRDefault="0019715E" w:rsidP="0019715E">
      <w:pPr>
        <w:numPr>
          <w:ilvl w:val="0"/>
          <w:numId w:val="1"/>
        </w:numPr>
        <w:spacing w:before="100" w:beforeAutospacing="1" w:after="100" w:afterAutospacing="1" w:line="240" w:lineRule="auto"/>
        <w:rPr>
          <w:rFonts w:ascii="Arial" w:eastAsia="Times New Roman" w:hAnsi="Arial" w:cs="Arial"/>
          <w:kern w:val="0"/>
          <w:sz w:val="28"/>
          <w:szCs w:val="28"/>
          <w:lang w:eastAsia="en-AU"/>
          <w14:ligatures w14:val="none"/>
        </w:rPr>
      </w:pPr>
      <w:r w:rsidRPr="0019715E">
        <w:rPr>
          <w:rFonts w:ascii="Arial" w:eastAsia="Times New Roman" w:hAnsi="Arial" w:cs="Arial"/>
          <w:b/>
          <w:bCs/>
          <w:kern w:val="0"/>
          <w:sz w:val="28"/>
          <w:szCs w:val="28"/>
          <w:lang w:eastAsia="en-AU"/>
          <w14:ligatures w14:val="none"/>
        </w:rPr>
        <w:t>Radiographers and Imaging Specialists</w:t>
      </w:r>
      <w:r w:rsidRPr="0019715E">
        <w:rPr>
          <w:rFonts w:ascii="Arial" w:eastAsia="Times New Roman" w:hAnsi="Arial" w:cs="Arial"/>
          <w:kern w:val="0"/>
          <w:sz w:val="28"/>
          <w:szCs w:val="28"/>
          <w:lang w:eastAsia="en-AU"/>
          <w14:ligatures w14:val="none"/>
        </w:rPr>
        <w:t>: These professionals utilize advanced imaging technologies such as DEXA scans and HRpQCT to assess bone density and quality. Their work is vital in moving beyond basic diagnostics to a more nuanced understanding of an individual’s fracture risk.</w:t>
      </w:r>
    </w:p>
    <w:p w14:paraId="02EF6DBD" w14:textId="77777777" w:rsidR="0019715E" w:rsidRPr="0019715E" w:rsidRDefault="0019715E" w:rsidP="0019715E">
      <w:pPr>
        <w:numPr>
          <w:ilvl w:val="0"/>
          <w:numId w:val="1"/>
        </w:numPr>
        <w:spacing w:before="100" w:beforeAutospacing="1" w:after="100" w:afterAutospacing="1" w:line="240" w:lineRule="auto"/>
        <w:rPr>
          <w:rFonts w:ascii="Arial" w:eastAsia="Times New Roman" w:hAnsi="Arial" w:cs="Arial"/>
          <w:kern w:val="0"/>
          <w:sz w:val="28"/>
          <w:szCs w:val="28"/>
          <w:lang w:eastAsia="en-AU"/>
          <w14:ligatures w14:val="none"/>
        </w:rPr>
      </w:pPr>
      <w:r w:rsidRPr="0019715E">
        <w:rPr>
          <w:rFonts w:ascii="Arial" w:eastAsia="Times New Roman" w:hAnsi="Arial" w:cs="Arial"/>
          <w:b/>
          <w:bCs/>
          <w:kern w:val="0"/>
          <w:sz w:val="28"/>
          <w:szCs w:val="28"/>
          <w:lang w:eastAsia="en-AU"/>
          <w14:ligatures w14:val="none"/>
        </w:rPr>
        <w:t>Endocrinologists</w:t>
      </w:r>
      <w:r w:rsidRPr="0019715E">
        <w:rPr>
          <w:rFonts w:ascii="Arial" w:eastAsia="Times New Roman" w:hAnsi="Arial" w:cs="Arial"/>
          <w:kern w:val="0"/>
          <w:sz w:val="28"/>
          <w:szCs w:val="28"/>
          <w:lang w:eastAsia="en-AU"/>
          <w14:ligatures w14:val="none"/>
        </w:rPr>
        <w:t>: Specializing in hormonal disorders, endocrinologists address the metabolic and hormonal aspects of osteoporosis, often managing treatments that directly affect bone density.</w:t>
      </w:r>
    </w:p>
    <w:p w14:paraId="3651A43B" w14:textId="77777777" w:rsidR="0019715E" w:rsidRPr="0019715E" w:rsidRDefault="0019715E" w:rsidP="0019715E">
      <w:pPr>
        <w:numPr>
          <w:ilvl w:val="0"/>
          <w:numId w:val="1"/>
        </w:numPr>
        <w:spacing w:before="100" w:beforeAutospacing="1" w:after="100" w:afterAutospacing="1" w:line="240" w:lineRule="auto"/>
        <w:rPr>
          <w:rFonts w:ascii="Arial" w:eastAsia="Times New Roman" w:hAnsi="Arial" w:cs="Arial"/>
          <w:kern w:val="0"/>
          <w:sz w:val="28"/>
          <w:szCs w:val="28"/>
          <w:lang w:eastAsia="en-AU"/>
          <w14:ligatures w14:val="none"/>
        </w:rPr>
      </w:pPr>
      <w:r w:rsidRPr="0019715E">
        <w:rPr>
          <w:rFonts w:ascii="Arial" w:eastAsia="Times New Roman" w:hAnsi="Arial" w:cs="Arial"/>
          <w:b/>
          <w:bCs/>
          <w:kern w:val="0"/>
          <w:sz w:val="28"/>
          <w:szCs w:val="28"/>
          <w:lang w:eastAsia="en-AU"/>
          <w14:ligatures w14:val="none"/>
        </w:rPr>
        <w:t>Dieticians, Nutritionists, and Allergists</w:t>
      </w:r>
      <w:r w:rsidRPr="0019715E">
        <w:rPr>
          <w:rFonts w:ascii="Arial" w:eastAsia="Times New Roman" w:hAnsi="Arial" w:cs="Arial"/>
          <w:kern w:val="0"/>
          <w:sz w:val="28"/>
          <w:szCs w:val="28"/>
          <w:lang w:eastAsia="en-AU"/>
          <w14:ligatures w14:val="none"/>
        </w:rPr>
        <w:t>: Nutrition plays a pivotal role in bone health. These experts ensure that patients’ diets are rich in crucial nutrients that strengthen bone, while also managing conditions like celiac disease which can impair nutrient absorption.</w:t>
      </w:r>
    </w:p>
    <w:p w14:paraId="75164A98" w14:textId="77777777" w:rsidR="0019715E" w:rsidRPr="0019715E" w:rsidRDefault="0019715E" w:rsidP="0019715E">
      <w:pPr>
        <w:numPr>
          <w:ilvl w:val="0"/>
          <w:numId w:val="1"/>
        </w:numPr>
        <w:spacing w:before="100" w:beforeAutospacing="1" w:after="100" w:afterAutospacing="1" w:line="240" w:lineRule="auto"/>
        <w:rPr>
          <w:rFonts w:ascii="Arial" w:eastAsia="Times New Roman" w:hAnsi="Arial" w:cs="Arial"/>
          <w:kern w:val="0"/>
          <w:sz w:val="28"/>
          <w:szCs w:val="28"/>
          <w:lang w:eastAsia="en-AU"/>
          <w14:ligatures w14:val="none"/>
        </w:rPr>
      </w:pPr>
      <w:r w:rsidRPr="0019715E">
        <w:rPr>
          <w:rFonts w:ascii="Arial" w:eastAsia="Times New Roman" w:hAnsi="Arial" w:cs="Arial"/>
          <w:b/>
          <w:bCs/>
          <w:kern w:val="0"/>
          <w:sz w:val="28"/>
          <w:szCs w:val="28"/>
          <w:lang w:eastAsia="en-AU"/>
          <w14:ligatures w14:val="none"/>
        </w:rPr>
        <w:t>Orthopaedic Specialists</w:t>
      </w:r>
      <w:r w:rsidRPr="0019715E">
        <w:rPr>
          <w:rFonts w:ascii="Arial" w:eastAsia="Times New Roman" w:hAnsi="Arial" w:cs="Arial"/>
          <w:kern w:val="0"/>
          <w:sz w:val="28"/>
          <w:szCs w:val="28"/>
          <w:lang w:eastAsia="en-AU"/>
          <w14:ligatures w14:val="none"/>
        </w:rPr>
        <w:t>: In cases where osteoporosis leads to fractures, orthopaedic specialists are crucial for surgical intervention and managing recovery, often referring patients to physical therapy programs like OsteoStrong for rehabilitation.</w:t>
      </w:r>
    </w:p>
    <w:p w14:paraId="73388DEB" w14:textId="7FF94E04" w:rsidR="0019715E" w:rsidRPr="0019715E" w:rsidRDefault="0019715E" w:rsidP="0019715E">
      <w:pPr>
        <w:numPr>
          <w:ilvl w:val="0"/>
          <w:numId w:val="1"/>
        </w:numPr>
        <w:spacing w:before="100" w:beforeAutospacing="1" w:after="100" w:afterAutospacing="1" w:line="240" w:lineRule="auto"/>
        <w:rPr>
          <w:rFonts w:ascii="Arial" w:eastAsia="Times New Roman" w:hAnsi="Arial" w:cs="Arial"/>
          <w:kern w:val="0"/>
          <w:sz w:val="28"/>
          <w:szCs w:val="28"/>
          <w:lang w:eastAsia="en-AU"/>
          <w14:ligatures w14:val="none"/>
        </w:rPr>
      </w:pPr>
      <w:r w:rsidRPr="0019715E">
        <w:rPr>
          <w:rFonts w:ascii="Arial" w:eastAsia="Times New Roman" w:hAnsi="Arial" w:cs="Arial"/>
          <w:b/>
          <w:bCs/>
          <w:kern w:val="0"/>
          <w:sz w:val="28"/>
          <w:szCs w:val="28"/>
          <w:lang w:eastAsia="en-AU"/>
          <w14:ligatures w14:val="none"/>
        </w:rPr>
        <w:lastRenderedPageBreak/>
        <w:t>Podiatrists</w:t>
      </w:r>
      <w:r w:rsidRPr="0019715E">
        <w:rPr>
          <w:rFonts w:ascii="Arial" w:eastAsia="Times New Roman" w:hAnsi="Arial" w:cs="Arial"/>
          <w:kern w:val="0"/>
          <w:sz w:val="28"/>
          <w:szCs w:val="28"/>
          <w:lang w:eastAsia="en-AU"/>
          <w14:ligatures w14:val="none"/>
        </w:rPr>
        <w:t>: Focusing on lower extremity health, podiatrists play a key role in preventing falls</w:t>
      </w:r>
      <w:r>
        <w:rPr>
          <w:rFonts w:ascii="Arial" w:eastAsia="Times New Roman" w:hAnsi="Arial" w:cs="Arial"/>
          <w:kern w:val="0"/>
          <w:sz w:val="28"/>
          <w:szCs w:val="28"/>
          <w:lang w:eastAsia="en-AU"/>
          <w14:ligatures w14:val="none"/>
        </w:rPr>
        <w:t xml:space="preserve"> - </w:t>
      </w:r>
      <w:r w:rsidRPr="0019715E">
        <w:rPr>
          <w:rFonts w:ascii="Arial" w:eastAsia="Times New Roman" w:hAnsi="Arial" w:cs="Arial"/>
          <w:kern w:val="0"/>
          <w:sz w:val="28"/>
          <w:szCs w:val="28"/>
          <w:lang w:eastAsia="en-AU"/>
          <w14:ligatures w14:val="none"/>
        </w:rPr>
        <w:t>a common concern for those with osteoporosis.</w:t>
      </w:r>
    </w:p>
    <w:p w14:paraId="6CED6EEF" w14:textId="77777777" w:rsidR="00EB206D" w:rsidRDefault="0019715E" w:rsidP="00EB206D">
      <w:pPr>
        <w:numPr>
          <w:ilvl w:val="0"/>
          <w:numId w:val="1"/>
        </w:numPr>
        <w:spacing w:before="100" w:beforeAutospacing="1" w:after="100" w:afterAutospacing="1" w:line="240" w:lineRule="auto"/>
        <w:rPr>
          <w:rFonts w:ascii="Arial" w:eastAsia="Times New Roman" w:hAnsi="Arial" w:cs="Arial"/>
          <w:kern w:val="0"/>
          <w:sz w:val="28"/>
          <w:szCs w:val="28"/>
          <w:lang w:eastAsia="en-AU"/>
          <w14:ligatures w14:val="none"/>
        </w:rPr>
      </w:pPr>
      <w:r w:rsidRPr="0019715E">
        <w:rPr>
          <w:rFonts w:ascii="Arial" w:eastAsia="Times New Roman" w:hAnsi="Arial" w:cs="Arial"/>
          <w:b/>
          <w:bCs/>
          <w:kern w:val="0"/>
          <w:sz w:val="28"/>
          <w:szCs w:val="28"/>
          <w:lang w:eastAsia="en-AU"/>
          <w14:ligatures w14:val="none"/>
        </w:rPr>
        <w:t>Rheumatologists, Gynaecologists, and More</w:t>
      </w:r>
      <w:r w:rsidRPr="0019715E">
        <w:rPr>
          <w:rFonts w:ascii="Arial" w:eastAsia="Times New Roman" w:hAnsi="Arial" w:cs="Arial"/>
          <w:kern w:val="0"/>
          <w:sz w:val="28"/>
          <w:szCs w:val="28"/>
          <w:lang w:eastAsia="en-AU"/>
          <w14:ligatures w14:val="none"/>
        </w:rPr>
        <w:t>: From managing chronic musculoskeletal conditions to addressing specific challenges faced by postmenopausal women, these specialists ensure comprehensive care that covers all aspects of bone health.</w:t>
      </w:r>
    </w:p>
    <w:p w14:paraId="23A4ECD8" w14:textId="77777777" w:rsidR="00EB206D" w:rsidRDefault="00EB206D" w:rsidP="00EB206D">
      <w:pPr>
        <w:spacing w:before="100" w:beforeAutospacing="1" w:after="100" w:afterAutospacing="1" w:line="240" w:lineRule="auto"/>
        <w:rPr>
          <w:rFonts w:ascii="Arial" w:eastAsia="Times New Roman" w:hAnsi="Arial" w:cs="Arial"/>
          <w:kern w:val="0"/>
          <w:sz w:val="28"/>
          <w:szCs w:val="28"/>
          <w:lang w:eastAsia="en-AU"/>
          <w14:ligatures w14:val="none"/>
        </w:rPr>
      </w:pPr>
    </w:p>
    <w:p w14:paraId="0F0880E0" w14:textId="3CFBD19B" w:rsidR="0019715E" w:rsidRPr="0019715E" w:rsidRDefault="0019715E" w:rsidP="00EB206D">
      <w:pPr>
        <w:spacing w:before="100" w:beforeAutospacing="1" w:after="100" w:afterAutospacing="1" w:line="240" w:lineRule="auto"/>
        <w:rPr>
          <w:rFonts w:ascii="Arial" w:eastAsia="Times New Roman" w:hAnsi="Arial" w:cs="Arial"/>
          <w:kern w:val="0"/>
          <w:sz w:val="32"/>
          <w:szCs w:val="32"/>
          <w:lang w:eastAsia="en-AU"/>
          <w14:ligatures w14:val="none"/>
        </w:rPr>
      </w:pPr>
      <w:r w:rsidRPr="0019715E">
        <w:rPr>
          <w:rFonts w:ascii="Arial" w:eastAsia="Times New Roman" w:hAnsi="Arial" w:cs="Arial"/>
          <w:b/>
          <w:bCs/>
          <w:kern w:val="0"/>
          <w:sz w:val="32"/>
          <w:szCs w:val="32"/>
          <w:lang w:eastAsia="en-AU"/>
          <w14:ligatures w14:val="none"/>
        </w:rPr>
        <w:t>Innovations in Treatment and Care</w:t>
      </w:r>
    </w:p>
    <w:p w14:paraId="3C5FF7C7" w14:textId="77777777" w:rsidR="0084120D" w:rsidRDefault="0019715E" w:rsidP="0084120D">
      <w:pPr>
        <w:pStyle w:val="NormalWeb"/>
        <w:rPr>
          <w:rFonts w:ascii="Arial" w:hAnsi="Arial" w:cs="Arial"/>
          <w:sz w:val="28"/>
          <w:szCs w:val="28"/>
        </w:rPr>
      </w:pPr>
      <w:r w:rsidRPr="0019715E">
        <w:rPr>
          <w:rFonts w:ascii="Arial" w:hAnsi="Arial" w:cs="Arial"/>
          <w:sz w:val="28"/>
          <w:szCs w:val="28"/>
        </w:rPr>
        <w:t>Emerging technologies and therapeutic approaches, such as the OsteoStrong program, exemplify the innovative strategies being adopted to combat osteoporosis. These programs focus not just on slowing bone density loss but also on enhancing overall musculoskeletal strength, thereby reducing the risk of fractures.</w:t>
      </w:r>
      <w:r>
        <w:rPr>
          <w:rFonts w:ascii="Arial" w:hAnsi="Arial" w:cs="Arial"/>
          <w:sz w:val="28"/>
          <w:szCs w:val="28"/>
        </w:rPr>
        <w:t xml:space="preserve"> </w:t>
      </w:r>
    </w:p>
    <w:p w14:paraId="22915F29" w14:textId="48B15047" w:rsidR="0084120D" w:rsidRPr="0084120D" w:rsidRDefault="0019715E" w:rsidP="0084120D">
      <w:pPr>
        <w:pStyle w:val="NormalWeb"/>
        <w:rPr>
          <w:rFonts w:ascii="Arial" w:hAnsi="Arial" w:cs="Arial"/>
          <w:sz w:val="28"/>
          <w:szCs w:val="28"/>
        </w:rPr>
      </w:pPr>
      <w:r>
        <w:rPr>
          <w:rFonts w:ascii="Arial" w:hAnsi="Arial" w:cs="Arial"/>
          <w:sz w:val="28"/>
          <w:szCs w:val="28"/>
        </w:rPr>
        <w:t>In addition</w:t>
      </w:r>
      <w:r w:rsidR="0084120D">
        <w:rPr>
          <w:rFonts w:ascii="Arial" w:hAnsi="Arial" w:cs="Arial"/>
          <w:sz w:val="28"/>
          <w:szCs w:val="28"/>
        </w:rPr>
        <w:t xml:space="preserve">, </w:t>
      </w:r>
      <w:r w:rsidR="0084120D" w:rsidRPr="0084120D">
        <w:rPr>
          <w:rFonts w:ascii="Arial" w:hAnsi="Arial" w:cs="Arial"/>
          <w:sz w:val="28"/>
          <w:szCs w:val="28"/>
        </w:rPr>
        <w:t>n</w:t>
      </w:r>
      <w:r w:rsidR="0084120D" w:rsidRPr="0084120D">
        <w:rPr>
          <w:rFonts w:ascii="Arial" w:hAnsi="Arial" w:cs="Arial"/>
          <w:sz w:val="28"/>
          <w:szCs w:val="28"/>
        </w:rPr>
        <w:t>ew technologies like HRpQCT and radiation-free EchoLight scans using REMS enhance osteoporosis management by providing a comprehensive assessment of bone health and fracture risk through both qualitative and quantitative analysis, shifting focus from just Bone T-scores to a more integrated evaluation of multiple risk factors</w:t>
      </w:r>
      <w:r w:rsidR="0084120D">
        <w:rPr>
          <w:rFonts w:ascii="Arial" w:hAnsi="Arial" w:cs="Arial"/>
          <w:sz w:val="28"/>
          <w:szCs w:val="28"/>
        </w:rPr>
        <w:t xml:space="preserve"> which are better at determining fracture risks.</w:t>
      </w:r>
    </w:p>
    <w:p w14:paraId="7DBA3CA7" w14:textId="3DFC5D9E" w:rsidR="0019715E" w:rsidRDefault="0019715E" w:rsidP="0019715E">
      <w:pPr>
        <w:spacing w:before="100" w:beforeAutospacing="1" w:after="100" w:afterAutospacing="1" w:line="240" w:lineRule="auto"/>
        <w:rPr>
          <w:rFonts w:ascii="Arial" w:eastAsia="Times New Roman" w:hAnsi="Arial" w:cs="Arial"/>
          <w:kern w:val="0"/>
          <w:sz w:val="28"/>
          <w:szCs w:val="28"/>
          <w:lang w:eastAsia="en-AU"/>
          <w14:ligatures w14:val="none"/>
        </w:rPr>
      </w:pPr>
    </w:p>
    <w:p w14:paraId="6EF2BD56" w14:textId="73577897" w:rsidR="0019715E" w:rsidRPr="0019715E" w:rsidRDefault="0019715E" w:rsidP="0019715E">
      <w:pPr>
        <w:spacing w:before="100" w:beforeAutospacing="1" w:after="100" w:afterAutospacing="1" w:line="240" w:lineRule="auto"/>
        <w:rPr>
          <w:rFonts w:ascii="Arial" w:eastAsia="Times New Roman" w:hAnsi="Arial" w:cs="Arial"/>
          <w:kern w:val="0"/>
          <w:sz w:val="32"/>
          <w:szCs w:val="32"/>
          <w:lang w:eastAsia="en-AU"/>
          <w14:ligatures w14:val="none"/>
        </w:rPr>
      </w:pPr>
      <w:r w:rsidRPr="0019715E">
        <w:rPr>
          <w:rFonts w:ascii="Arial" w:eastAsia="Times New Roman" w:hAnsi="Arial" w:cs="Arial"/>
          <w:b/>
          <w:bCs/>
          <w:kern w:val="0"/>
          <w:sz w:val="32"/>
          <w:szCs w:val="32"/>
          <w:lang w:eastAsia="en-AU"/>
          <w14:ligatures w14:val="none"/>
        </w:rPr>
        <w:t>Global and Community Efforts</w:t>
      </w:r>
    </w:p>
    <w:p w14:paraId="77D709AF" w14:textId="64C9AFAF" w:rsidR="0019715E" w:rsidRDefault="0019715E" w:rsidP="0019715E">
      <w:pPr>
        <w:spacing w:before="100" w:beforeAutospacing="1" w:after="100" w:afterAutospacing="1" w:line="240" w:lineRule="auto"/>
        <w:rPr>
          <w:rFonts w:ascii="Arial" w:eastAsia="Times New Roman" w:hAnsi="Arial" w:cs="Arial"/>
          <w:kern w:val="0"/>
          <w:sz w:val="28"/>
          <w:szCs w:val="28"/>
          <w:lang w:eastAsia="en-AU"/>
          <w14:ligatures w14:val="none"/>
        </w:rPr>
      </w:pPr>
      <w:r w:rsidRPr="0019715E">
        <w:rPr>
          <w:rFonts w:ascii="Arial" w:eastAsia="Times New Roman" w:hAnsi="Arial" w:cs="Arial"/>
          <w:kern w:val="0"/>
          <w:sz w:val="28"/>
          <w:szCs w:val="28"/>
          <w:lang w:eastAsia="en-AU"/>
          <w14:ligatures w14:val="none"/>
        </w:rPr>
        <w:t>Organizations like the International Osteoporosis Foundation</w:t>
      </w:r>
      <w:r w:rsidR="00A20422">
        <w:rPr>
          <w:rFonts w:ascii="Arial" w:eastAsia="Times New Roman" w:hAnsi="Arial" w:cs="Arial"/>
          <w:kern w:val="0"/>
          <w:sz w:val="28"/>
          <w:szCs w:val="28"/>
          <w:lang w:eastAsia="en-AU"/>
          <w14:ligatures w14:val="none"/>
        </w:rPr>
        <w:t>,</w:t>
      </w:r>
      <w:r w:rsidRPr="0019715E">
        <w:rPr>
          <w:rFonts w:ascii="Arial" w:eastAsia="Times New Roman" w:hAnsi="Arial" w:cs="Arial"/>
          <w:kern w:val="0"/>
          <w:sz w:val="28"/>
          <w:szCs w:val="28"/>
          <w:lang w:eastAsia="en-AU"/>
          <w14:ligatures w14:val="none"/>
        </w:rPr>
        <w:t xml:space="preserve"> Healthy Bones Australia</w:t>
      </w:r>
      <w:r w:rsidR="00A20422">
        <w:rPr>
          <w:rFonts w:ascii="Arial" w:eastAsia="Times New Roman" w:hAnsi="Arial" w:cs="Arial"/>
          <w:kern w:val="0"/>
          <w:sz w:val="28"/>
          <w:szCs w:val="28"/>
          <w:lang w:eastAsia="en-AU"/>
          <w14:ligatures w14:val="none"/>
        </w:rPr>
        <w:t>, OsteoStrong Australia and OsteoStrong International</w:t>
      </w:r>
      <w:r w:rsidRPr="0019715E">
        <w:rPr>
          <w:rFonts w:ascii="Arial" w:eastAsia="Times New Roman" w:hAnsi="Arial" w:cs="Arial"/>
          <w:kern w:val="0"/>
          <w:sz w:val="28"/>
          <w:szCs w:val="28"/>
          <w:lang w:eastAsia="en-AU"/>
          <w14:ligatures w14:val="none"/>
        </w:rPr>
        <w:t xml:space="preserve"> are at the forefront of global efforts to educate and provide resources on osteoporosis. Their work, alongside that of other specialist groups, underscores a concerted international effort to address and mitigate this condition</w:t>
      </w:r>
      <w:r>
        <w:rPr>
          <w:rFonts w:ascii="Arial" w:eastAsia="Times New Roman" w:hAnsi="Arial" w:cs="Arial"/>
          <w:kern w:val="0"/>
          <w:sz w:val="28"/>
          <w:szCs w:val="28"/>
          <w:lang w:eastAsia="en-AU"/>
          <w14:ligatures w14:val="none"/>
        </w:rPr>
        <w:t>.</w:t>
      </w:r>
    </w:p>
    <w:p w14:paraId="148911D2" w14:textId="77777777" w:rsidR="0084120D" w:rsidRDefault="0084120D" w:rsidP="0019715E">
      <w:pPr>
        <w:spacing w:before="100" w:beforeAutospacing="1" w:after="100" w:afterAutospacing="1" w:line="240" w:lineRule="auto"/>
        <w:rPr>
          <w:rFonts w:ascii="Arial" w:eastAsia="Times New Roman" w:hAnsi="Arial" w:cs="Arial"/>
          <w:b/>
          <w:bCs/>
          <w:kern w:val="0"/>
          <w:sz w:val="32"/>
          <w:szCs w:val="32"/>
          <w:lang w:eastAsia="en-AU"/>
          <w14:ligatures w14:val="none"/>
        </w:rPr>
      </w:pPr>
    </w:p>
    <w:p w14:paraId="1F00B27A" w14:textId="1516535F" w:rsidR="0019715E" w:rsidRPr="0019715E" w:rsidRDefault="00EB206D" w:rsidP="0019715E">
      <w:pPr>
        <w:spacing w:before="100" w:beforeAutospacing="1" w:after="100" w:afterAutospacing="1" w:line="240" w:lineRule="auto"/>
        <w:rPr>
          <w:rFonts w:ascii="Arial" w:eastAsia="Times New Roman" w:hAnsi="Arial" w:cs="Arial"/>
          <w:kern w:val="0"/>
          <w:sz w:val="32"/>
          <w:szCs w:val="32"/>
          <w:lang w:eastAsia="en-AU"/>
          <w14:ligatures w14:val="none"/>
        </w:rPr>
      </w:pPr>
      <w:r w:rsidRPr="00EB206D">
        <w:rPr>
          <w:rFonts w:ascii="Arial" w:eastAsia="Times New Roman" w:hAnsi="Arial" w:cs="Arial"/>
          <w:b/>
          <w:bCs/>
          <w:kern w:val="0"/>
          <w:sz w:val="32"/>
          <w:szCs w:val="32"/>
          <w:lang w:eastAsia="en-AU"/>
          <w14:ligatures w14:val="none"/>
        </w:rPr>
        <w:t>Summary</w:t>
      </w:r>
    </w:p>
    <w:p w14:paraId="78CBC377" w14:textId="4F44985C" w:rsidR="0019715E" w:rsidRDefault="0019715E" w:rsidP="0019715E">
      <w:pPr>
        <w:spacing w:before="100" w:beforeAutospacing="1" w:after="100" w:afterAutospacing="1" w:line="240" w:lineRule="auto"/>
        <w:rPr>
          <w:rFonts w:ascii="Arial" w:eastAsia="Times New Roman" w:hAnsi="Arial" w:cs="Arial"/>
          <w:kern w:val="0"/>
          <w:sz w:val="28"/>
          <w:szCs w:val="28"/>
          <w:lang w:eastAsia="en-AU"/>
          <w14:ligatures w14:val="none"/>
        </w:rPr>
      </w:pPr>
      <w:r w:rsidRPr="0019715E">
        <w:rPr>
          <w:rFonts w:ascii="Arial" w:eastAsia="Times New Roman" w:hAnsi="Arial" w:cs="Arial"/>
          <w:kern w:val="0"/>
          <w:sz w:val="28"/>
          <w:szCs w:val="28"/>
          <w:lang w:eastAsia="en-AU"/>
          <w14:ligatures w14:val="none"/>
        </w:rPr>
        <w:t>The management of osteoporosis requires a collaborative approach among various healthcare providers. From initial detection by a GP to speciali</w:t>
      </w:r>
      <w:r w:rsidR="0084120D">
        <w:rPr>
          <w:rFonts w:ascii="Arial" w:eastAsia="Times New Roman" w:hAnsi="Arial" w:cs="Arial"/>
          <w:kern w:val="0"/>
          <w:sz w:val="28"/>
          <w:szCs w:val="28"/>
          <w:lang w:eastAsia="en-AU"/>
          <w14:ligatures w14:val="none"/>
        </w:rPr>
        <w:t>s</w:t>
      </w:r>
      <w:r w:rsidRPr="0019715E">
        <w:rPr>
          <w:rFonts w:ascii="Arial" w:eastAsia="Times New Roman" w:hAnsi="Arial" w:cs="Arial"/>
          <w:kern w:val="0"/>
          <w:sz w:val="28"/>
          <w:szCs w:val="28"/>
          <w:lang w:eastAsia="en-AU"/>
          <w14:ligatures w14:val="none"/>
        </w:rPr>
        <w:t>ed care and innovative treatment programs</w:t>
      </w:r>
      <w:r w:rsidR="0084120D">
        <w:rPr>
          <w:rFonts w:ascii="Arial" w:eastAsia="Times New Roman" w:hAnsi="Arial" w:cs="Arial"/>
          <w:kern w:val="0"/>
          <w:sz w:val="28"/>
          <w:szCs w:val="28"/>
          <w:lang w:eastAsia="en-AU"/>
          <w14:ligatures w14:val="none"/>
        </w:rPr>
        <w:t xml:space="preserve"> like OsteoStrong</w:t>
      </w:r>
      <w:r w:rsidRPr="0019715E">
        <w:rPr>
          <w:rFonts w:ascii="Arial" w:eastAsia="Times New Roman" w:hAnsi="Arial" w:cs="Arial"/>
          <w:kern w:val="0"/>
          <w:sz w:val="28"/>
          <w:szCs w:val="28"/>
          <w:lang w:eastAsia="en-AU"/>
          <w14:ligatures w14:val="none"/>
        </w:rPr>
        <w:t>, each element is crucial in providing patients with the best possible outcomes. As we advance, the integration of new research and technologies continues to enhance our ability to effectively manage osteoporosis, offering hope and improved quality of life for millions affected by this condition.</w:t>
      </w:r>
    </w:p>
    <w:p w14:paraId="2FCA6A39" w14:textId="48ADF80B" w:rsidR="0019715E" w:rsidRPr="0084120D" w:rsidRDefault="0019715E" w:rsidP="0019715E">
      <w:pPr>
        <w:spacing w:before="100" w:beforeAutospacing="1" w:after="100" w:afterAutospacing="1" w:line="240" w:lineRule="auto"/>
        <w:rPr>
          <w:rFonts w:ascii="Arial" w:eastAsia="Times New Roman" w:hAnsi="Arial" w:cs="Arial"/>
          <w:i/>
          <w:iCs/>
          <w:kern w:val="0"/>
          <w:sz w:val="28"/>
          <w:szCs w:val="28"/>
          <w:lang w:eastAsia="en-AU"/>
          <w14:ligatures w14:val="none"/>
        </w:rPr>
      </w:pPr>
      <w:r w:rsidRPr="0084120D">
        <w:rPr>
          <w:rFonts w:ascii="Arial" w:eastAsia="Times New Roman" w:hAnsi="Arial" w:cs="Arial"/>
          <w:i/>
          <w:iCs/>
          <w:kern w:val="0"/>
          <w:sz w:val="28"/>
          <w:szCs w:val="28"/>
          <w:lang w:eastAsia="en-AU"/>
          <w14:ligatures w14:val="none"/>
        </w:rPr>
        <w:lastRenderedPageBreak/>
        <w:t>* *For more information</w:t>
      </w:r>
      <w:r w:rsidR="0084120D">
        <w:rPr>
          <w:rFonts w:ascii="Arial" w:eastAsia="Times New Roman" w:hAnsi="Arial" w:cs="Arial"/>
          <w:i/>
          <w:iCs/>
          <w:kern w:val="0"/>
          <w:sz w:val="28"/>
          <w:szCs w:val="28"/>
          <w:lang w:eastAsia="en-AU"/>
          <w14:ligatures w14:val="none"/>
        </w:rPr>
        <w:t xml:space="preserve"> &amp; resources</w:t>
      </w:r>
      <w:r w:rsidRPr="0084120D">
        <w:rPr>
          <w:rFonts w:ascii="Arial" w:eastAsia="Times New Roman" w:hAnsi="Arial" w:cs="Arial"/>
          <w:i/>
          <w:iCs/>
          <w:kern w:val="0"/>
          <w:sz w:val="28"/>
          <w:szCs w:val="28"/>
          <w:lang w:eastAsia="en-AU"/>
          <w14:ligatures w14:val="none"/>
        </w:rPr>
        <w:t xml:space="preserve"> read the full article here **</w:t>
      </w:r>
    </w:p>
    <w:p w14:paraId="0CE8BBBD" w14:textId="6BE12054" w:rsidR="0019715E" w:rsidRPr="0019715E" w:rsidRDefault="0019715E" w:rsidP="0019715E">
      <w:pPr>
        <w:spacing w:before="100" w:beforeAutospacing="1" w:after="100" w:afterAutospacing="1" w:line="240" w:lineRule="auto"/>
        <w:rPr>
          <w:rFonts w:ascii="Arial" w:eastAsia="Times New Roman" w:hAnsi="Arial" w:cs="Arial"/>
          <w:b/>
          <w:bCs/>
          <w:kern w:val="0"/>
          <w:sz w:val="28"/>
          <w:szCs w:val="28"/>
          <w:lang w:eastAsia="en-AU"/>
          <w14:ligatures w14:val="none"/>
        </w:rPr>
      </w:pPr>
      <w:r w:rsidRPr="0019715E">
        <w:rPr>
          <w:rFonts w:ascii="Arial" w:eastAsia="Times New Roman" w:hAnsi="Arial" w:cs="Arial"/>
          <w:b/>
          <w:bCs/>
          <w:kern w:val="0"/>
          <w:sz w:val="28"/>
          <w:szCs w:val="28"/>
          <w:lang w:eastAsia="en-AU"/>
          <w14:ligatures w14:val="none"/>
        </w:rPr>
        <w:t>Perry Eckert</w:t>
      </w:r>
    </w:p>
    <w:p w14:paraId="05B89E03" w14:textId="4CC7C381" w:rsidR="0019715E" w:rsidRDefault="0019715E" w:rsidP="0019715E">
      <w:pPr>
        <w:spacing w:before="100" w:beforeAutospacing="1" w:after="100" w:afterAutospacing="1" w:line="240" w:lineRule="auto"/>
        <w:rPr>
          <w:rFonts w:ascii="Arial" w:eastAsia="Times New Roman" w:hAnsi="Arial" w:cs="Arial"/>
          <w:b/>
          <w:bCs/>
          <w:kern w:val="0"/>
          <w:sz w:val="28"/>
          <w:szCs w:val="28"/>
          <w:lang w:eastAsia="en-AU"/>
          <w14:ligatures w14:val="none"/>
        </w:rPr>
      </w:pPr>
      <w:r w:rsidRPr="0019715E">
        <w:rPr>
          <w:rFonts w:ascii="Arial" w:eastAsia="Times New Roman" w:hAnsi="Arial" w:cs="Arial"/>
          <w:b/>
          <w:bCs/>
          <w:kern w:val="0"/>
          <w:sz w:val="28"/>
          <w:szCs w:val="28"/>
          <w:lang w:eastAsia="en-AU"/>
          <w14:ligatures w14:val="none"/>
        </w:rPr>
        <w:t>OsteoStrong Australia</w:t>
      </w:r>
    </w:p>
    <w:p w14:paraId="0C572C7A" w14:textId="77777777" w:rsidR="00A20422" w:rsidRDefault="00A20422" w:rsidP="0019715E">
      <w:pPr>
        <w:spacing w:before="100" w:beforeAutospacing="1" w:after="100" w:afterAutospacing="1" w:line="240" w:lineRule="auto"/>
        <w:rPr>
          <w:rFonts w:ascii="Arial" w:eastAsia="Times New Roman" w:hAnsi="Arial" w:cs="Arial"/>
          <w:b/>
          <w:bCs/>
          <w:kern w:val="0"/>
          <w:sz w:val="28"/>
          <w:szCs w:val="28"/>
          <w:lang w:eastAsia="en-AU"/>
          <w14:ligatures w14:val="none"/>
        </w:rPr>
      </w:pPr>
    </w:p>
    <w:p w14:paraId="71B57B16" w14:textId="7931B8F8" w:rsidR="00A20422" w:rsidRPr="00A20422" w:rsidRDefault="00A20422" w:rsidP="00A20422">
      <w:pPr>
        <w:spacing w:before="100" w:beforeAutospacing="1" w:after="100" w:afterAutospacing="1" w:line="240" w:lineRule="auto"/>
        <w:rPr>
          <w:rFonts w:ascii="Arial" w:eastAsia="Times New Roman" w:hAnsi="Arial" w:cs="Arial"/>
          <w:kern w:val="0"/>
          <w:sz w:val="28"/>
          <w:szCs w:val="28"/>
          <w:lang w:eastAsia="en-AU"/>
          <w14:ligatures w14:val="none"/>
        </w:rPr>
      </w:pPr>
      <w:r w:rsidRPr="00A20422">
        <w:rPr>
          <w:rFonts w:ascii="Arial" w:eastAsia="Times New Roman" w:hAnsi="Arial" w:cs="Arial"/>
          <w:kern w:val="0"/>
          <w:sz w:val="28"/>
          <w:szCs w:val="28"/>
          <w:lang w:eastAsia="en-AU"/>
          <w14:ligatures w14:val="none"/>
        </w:rPr>
        <w:t>(1</w:t>
      </w:r>
      <w:r>
        <w:rPr>
          <w:rFonts w:ascii="Arial" w:eastAsia="Times New Roman" w:hAnsi="Arial" w:cs="Arial"/>
          <w:kern w:val="0"/>
          <w:sz w:val="28"/>
          <w:szCs w:val="28"/>
          <w:lang w:eastAsia="en-AU"/>
          <w14:ligatures w14:val="none"/>
        </w:rPr>
        <w:t xml:space="preserve">)  </w:t>
      </w:r>
      <w:r w:rsidRPr="00A20422">
        <w:rPr>
          <w:rFonts w:ascii="Arial" w:eastAsia="Times New Roman" w:hAnsi="Arial" w:cs="Arial"/>
          <w:kern w:val="0"/>
          <w:sz w:val="28"/>
          <w:szCs w:val="28"/>
          <w:lang w:eastAsia="en-AU"/>
          <w14:ligatures w14:val="none"/>
        </w:rPr>
        <w:t xml:space="preserve">Osteoporosis fractures in Australia. A burden of disease analysis 2023-2033, Healthy Bones Australia 2024, </w:t>
      </w:r>
      <w:r w:rsidRPr="00A20422">
        <w:t xml:space="preserve"> </w:t>
      </w:r>
      <w:hyperlink r:id="rId6" w:history="1">
        <w:r>
          <w:rPr>
            <w:rStyle w:val="Hyperlink"/>
          </w:rPr>
          <w:t>bod-2024-digital-isbn-final.pdf</w:t>
        </w:r>
      </w:hyperlink>
    </w:p>
    <w:p w14:paraId="0DF8F80D" w14:textId="77777777" w:rsidR="0019715E" w:rsidRPr="0019715E" w:rsidRDefault="0019715E">
      <w:pPr>
        <w:rPr>
          <w:rFonts w:ascii="Arial" w:hAnsi="Arial" w:cs="Arial"/>
          <w:sz w:val="28"/>
          <w:szCs w:val="28"/>
        </w:rPr>
      </w:pPr>
    </w:p>
    <w:sectPr w:rsidR="0019715E" w:rsidRPr="0019715E" w:rsidSect="00A42BFD">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F4518"/>
    <w:multiLevelType w:val="multilevel"/>
    <w:tmpl w:val="C3D8C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50509"/>
    <w:multiLevelType w:val="hybridMultilevel"/>
    <w:tmpl w:val="8D1A91EA"/>
    <w:lvl w:ilvl="0" w:tplc="170EF5BA">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AC404A"/>
    <w:multiLevelType w:val="hybridMultilevel"/>
    <w:tmpl w:val="F3025510"/>
    <w:lvl w:ilvl="0" w:tplc="56C8D1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A100A20"/>
    <w:multiLevelType w:val="hybridMultilevel"/>
    <w:tmpl w:val="7E6A2C28"/>
    <w:lvl w:ilvl="0" w:tplc="A2A05DF2">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9443160">
    <w:abstractNumId w:val="0"/>
  </w:num>
  <w:num w:numId="2" w16cid:durableId="595870622">
    <w:abstractNumId w:val="3"/>
  </w:num>
  <w:num w:numId="3" w16cid:durableId="1910533614">
    <w:abstractNumId w:val="1"/>
  </w:num>
  <w:num w:numId="4" w16cid:durableId="1353339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5E"/>
    <w:rsid w:val="000F1110"/>
    <w:rsid w:val="0019715E"/>
    <w:rsid w:val="0084120D"/>
    <w:rsid w:val="00A144BA"/>
    <w:rsid w:val="00A20422"/>
    <w:rsid w:val="00A42BFD"/>
    <w:rsid w:val="00EB2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A8C7"/>
  <w15:chartTrackingRefBased/>
  <w15:docId w15:val="{ECB9EEDB-0B7B-4776-9A4F-98A642AF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15E"/>
    <w:rPr>
      <w:rFonts w:eastAsiaTheme="majorEastAsia" w:cstheme="majorBidi"/>
      <w:color w:val="272727" w:themeColor="text1" w:themeTint="D8"/>
    </w:rPr>
  </w:style>
  <w:style w:type="paragraph" w:styleId="Title">
    <w:name w:val="Title"/>
    <w:basedOn w:val="Normal"/>
    <w:next w:val="Normal"/>
    <w:link w:val="TitleChar"/>
    <w:uiPriority w:val="10"/>
    <w:qFormat/>
    <w:rsid w:val="00197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15E"/>
    <w:pPr>
      <w:spacing w:before="160"/>
      <w:jc w:val="center"/>
    </w:pPr>
    <w:rPr>
      <w:i/>
      <w:iCs/>
      <w:color w:val="404040" w:themeColor="text1" w:themeTint="BF"/>
    </w:rPr>
  </w:style>
  <w:style w:type="character" w:customStyle="1" w:styleId="QuoteChar">
    <w:name w:val="Quote Char"/>
    <w:basedOn w:val="DefaultParagraphFont"/>
    <w:link w:val="Quote"/>
    <w:uiPriority w:val="29"/>
    <w:rsid w:val="0019715E"/>
    <w:rPr>
      <w:i/>
      <w:iCs/>
      <w:color w:val="404040" w:themeColor="text1" w:themeTint="BF"/>
    </w:rPr>
  </w:style>
  <w:style w:type="paragraph" w:styleId="ListParagraph">
    <w:name w:val="List Paragraph"/>
    <w:basedOn w:val="Normal"/>
    <w:uiPriority w:val="34"/>
    <w:qFormat/>
    <w:rsid w:val="0019715E"/>
    <w:pPr>
      <w:ind w:left="720"/>
      <w:contextualSpacing/>
    </w:pPr>
  </w:style>
  <w:style w:type="character" w:styleId="IntenseEmphasis">
    <w:name w:val="Intense Emphasis"/>
    <w:basedOn w:val="DefaultParagraphFont"/>
    <w:uiPriority w:val="21"/>
    <w:qFormat/>
    <w:rsid w:val="0019715E"/>
    <w:rPr>
      <w:i/>
      <w:iCs/>
      <w:color w:val="0F4761" w:themeColor="accent1" w:themeShade="BF"/>
    </w:rPr>
  </w:style>
  <w:style w:type="paragraph" w:styleId="IntenseQuote">
    <w:name w:val="Intense Quote"/>
    <w:basedOn w:val="Normal"/>
    <w:next w:val="Normal"/>
    <w:link w:val="IntenseQuoteChar"/>
    <w:uiPriority w:val="30"/>
    <w:qFormat/>
    <w:rsid w:val="00197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15E"/>
    <w:rPr>
      <w:i/>
      <w:iCs/>
      <w:color w:val="0F4761" w:themeColor="accent1" w:themeShade="BF"/>
    </w:rPr>
  </w:style>
  <w:style w:type="character" w:styleId="IntenseReference">
    <w:name w:val="Intense Reference"/>
    <w:basedOn w:val="DefaultParagraphFont"/>
    <w:uiPriority w:val="32"/>
    <w:qFormat/>
    <w:rsid w:val="0019715E"/>
    <w:rPr>
      <w:b/>
      <w:bCs/>
      <w:smallCaps/>
      <w:color w:val="0F4761" w:themeColor="accent1" w:themeShade="BF"/>
      <w:spacing w:val="5"/>
    </w:rPr>
  </w:style>
  <w:style w:type="character" w:styleId="Hyperlink">
    <w:name w:val="Hyperlink"/>
    <w:basedOn w:val="DefaultParagraphFont"/>
    <w:uiPriority w:val="99"/>
    <w:semiHidden/>
    <w:unhideWhenUsed/>
    <w:rsid w:val="00A20422"/>
    <w:rPr>
      <w:color w:val="0000FF"/>
      <w:u w:val="single"/>
    </w:rPr>
  </w:style>
  <w:style w:type="paragraph" w:styleId="NormalWeb">
    <w:name w:val="Normal (Web)"/>
    <w:basedOn w:val="Normal"/>
    <w:uiPriority w:val="99"/>
    <w:unhideWhenUsed/>
    <w:rsid w:val="00A42BFD"/>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8317">
      <w:bodyDiv w:val="1"/>
      <w:marLeft w:val="0"/>
      <w:marRight w:val="0"/>
      <w:marTop w:val="0"/>
      <w:marBottom w:val="0"/>
      <w:divBdr>
        <w:top w:val="none" w:sz="0" w:space="0" w:color="auto"/>
        <w:left w:val="none" w:sz="0" w:space="0" w:color="auto"/>
        <w:bottom w:val="none" w:sz="0" w:space="0" w:color="auto"/>
        <w:right w:val="none" w:sz="0" w:space="0" w:color="auto"/>
      </w:divBdr>
    </w:div>
    <w:div w:id="236786696">
      <w:bodyDiv w:val="1"/>
      <w:marLeft w:val="0"/>
      <w:marRight w:val="0"/>
      <w:marTop w:val="0"/>
      <w:marBottom w:val="0"/>
      <w:divBdr>
        <w:top w:val="none" w:sz="0" w:space="0" w:color="auto"/>
        <w:left w:val="none" w:sz="0" w:space="0" w:color="auto"/>
        <w:bottom w:val="none" w:sz="0" w:space="0" w:color="auto"/>
        <w:right w:val="none" w:sz="0" w:space="0" w:color="auto"/>
      </w:divBdr>
    </w:div>
    <w:div w:id="6260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lthybonesaustralia.org.au/wp-content/uploads/2024/09/bod-2024-digital-isbn-final.pdf"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Eckert</dc:creator>
  <cp:keywords/>
  <dc:description/>
  <cp:lastModifiedBy>Perry Eckert</cp:lastModifiedBy>
  <cp:revision>1</cp:revision>
  <dcterms:created xsi:type="dcterms:W3CDTF">2024-12-09T23:00:00Z</dcterms:created>
  <dcterms:modified xsi:type="dcterms:W3CDTF">2024-12-09T23:54:00Z</dcterms:modified>
</cp:coreProperties>
</file>